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tkinson Hyperlegible" w:cs="Atkinson Hyperlegible" w:eastAsia="Atkinson Hyperlegible" w:hAnsi="Atkinson Hyperlegible"/>
          <w:b/>
          <w:bCs/>
          <w:color w:val="432874"/>
          <w:sz w:val="40"/>
          <w:szCs w:val="40"/>
        </w:rPr>
        <w:t xml:space="preserve">Lateral Minds</w:t>
      </w:r>
      <w:r>
        <w:rPr>
          <w:rFonts w:ascii="Atkinson Hyperlegible" w:cs="Atkinson Hyperlegible" w:eastAsia="Atkinson Hyperlegible" w:hAnsi="Atkinson Hyperlegible"/>
          <w:b/>
          <w:bCs/>
          <w:color w:val="E8A317"/>
          <w:sz w:val="24"/>
          <w:szCs w:val="24"/>
        </w:rPr>
        <w:t xml:space="preserve">   Apprentice Support Service</w:t>
      </w:r>
    </w:p>
    <w:p>
      <w:pPr>
        <w:pBdr>
          <w:bottom w:val="single" w:color="432874" w:sz="12"/>
        </w:pBdr>
        <w:spacing w:after="160"/>
      </w:pPr>
      <w:r>
        <w:rPr>
          <w:rFonts w:ascii="Atkinson Hyperlegible" w:cs="Atkinson Hyperlegible" w:eastAsia="Atkinson Hyperlegible" w:hAnsi="Atkinson Hyperlegible"/>
          <w:i/>
          <w:iCs/>
          <w:color w:val="6B6B6B"/>
          <w:sz w:val="21"/>
          <w:szCs w:val="21"/>
        </w:rPr>
        <w:t xml:space="preserve">Specialist support for neurodivergent apprentices and technicians in engineering, electrical and technical roles</w:t>
      </w:r>
    </w:p>
    <w:p>
      <w:pPr>
        <w:pBdr>
          <w:bottom w:val="single" w:color="E8A317" w:sz="6"/>
        </w:pBdr>
        <w:spacing w:after="80" w:before="200"/>
      </w:pPr>
      <w:r>
        <w:rPr>
          <w:rFonts w:ascii="Atkinson Hyperlegible" w:cs="Atkinson Hyperlegible" w:eastAsia="Atkinson Hyperlegible" w:hAnsi="Atkinson Hyperlegible"/>
          <w:b/>
          <w:bCs/>
          <w:color w:val="432874"/>
          <w:sz w:val="21"/>
          <w:szCs w:val="21"/>
        </w:rPr>
        <w:t xml:space="preserve">THE PROBLEM</w:t>
      </w:r>
    </w:p>
    <w:p>
      <w:pPr>
        <w:spacing w:after="120" w:before="0"/>
      </w:pPr>
      <w:r>
        <w:rPr>
          <w:rFonts w:ascii="Atkinson Hyperlegible" w:cs="Atkinson Hyperlegible" w:eastAsia="Atkinson Hyperlegible" w:hAnsi="Atkinson Hyperlegible"/>
          <w:b w:val="false"/>
          <w:bCs w:val="false"/>
          <w:i w:val="false"/>
          <w:iCs w:val="false"/>
          <w:color w:val="2B2B2B"/>
          <w:sz w:val="20"/>
          <w:szCs w:val="20"/>
        </w:rPr>
        <w:t xml:space="preserve">Nearly half of all apprenticeships in England are not completed, and neurodivergent apprentices — those with ADHD, autism, dyslexia or dyspraxia — are at significantly higher risk of dropping out. When an apprentice struggles with college assessments, written work or workplace instructions, the cost falls on you: recruitment spend, training investment, levy funds and supervisor time. Most support available is generic. It is not designed by people who understand both neurodivergent learning and the realities of a workshop, plant room or engineering environment.</w:t>
      </w:r>
    </w:p>
    <w:p>
      <w:pPr>
        <w:pBdr>
          <w:bottom w:val="single" w:color="E8A317" w:sz="6"/>
        </w:pBdr>
        <w:spacing w:after="80" w:before="200"/>
      </w:pPr>
      <w:r>
        <w:rPr>
          <w:rFonts w:ascii="Atkinson Hyperlegible" w:cs="Atkinson Hyperlegible" w:eastAsia="Atkinson Hyperlegible" w:hAnsi="Atkinson Hyperlegible"/>
          <w:b/>
          <w:bCs/>
          <w:color w:val="432874"/>
          <w:sz w:val="21"/>
          <w:szCs w:val="21"/>
        </w:rPr>
        <w:t xml:space="preserve">WHAT WE DO</w:t>
      </w:r>
    </w:p>
    <w:p>
      <w:pPr>
        <w:pStyle w:val="ListParagraph"/>
        <w:numPr>
          <w:ilvl w:val="0"/>
          <w:numId w:val="2"/>
        </w:numPr>
        <w:spacing w:after="70"/>
      </w:pPr>
      <w:r>
        <w:rPr>
          <w:rFonts w:ascii="Atkinson Hyperlegible" w:cs="Atkinson Hyperlegible" w:eastAsia="Atkinson Hyperlegible" w:hAnsi="Atkinson Hyperlegible"/>
          <w:b/>
          <w:bCs/>
          <w:color w:val="2B2B2B"/>
          <w:sz w:val="20"/>
          <w:szCs w:val="20"/>
        </w:rPr>
        <w:t xml:space="preserve">1. Diagnose — </w:t>
      </w:r>
      <w:r>
        <w:rPr>
          <w:rFonts w:ascii="Atkinson Hyperlegible" w:cs="Atkinson Hyperlegible" w:eastAsia="Atkinson Hyperlegible" w:hAnsi="Atkinson Hyperlegible"/>
          <w:color w:val="2B2B2B"/>
          <w:sz w:val="20"/>
          <w:szCs w:val="20"/>
        </w:rPr>
        <w:t xml:space="preserve">A fixed-fee assessment of what is actually getting in the way. We work directly with your apprentice, and liaise with their training provider and line manager, to understand how they learn and where the friction is.</w:t>
      </w:r>
    </w:p>
    <w:p>
      <w:pPr>
        <w:pStyle w:val="ListParagraph"/>
        <w:numPr>
          <w:ilvl w:val="0"/>
          <w:numId w:val="2"/>
        </w:numPr>
        <w:spacing w:after="70"/>
      </w:pPr>
      <w:r>
        <w:rPr>
          <w:rFonts w:ascii="Atkinson Hyperlegible" w:cs="Atkinson Hyperlegible" w:eastAsia="Atkinson Hyperlegible" w:hAnsi="Atkinson Hyperlegible"/>
          <w:b/>
          <w:bCs/>
          <w:color w:val="2B2B2B"/>
          <w:sz w:val="20"/>
          <w:szCs w:val="20"/>
        </w:rPr>
        <w:t xml:space="preserve">2. Recommend — </w:t>
      </w:r>
      <w:r>
        <w:rPr>
          <w:rFonts w:ascii="Atkinson Hyperlegible" w:cs="Atkinson Hyperlegible" w:eastAsia="Atkinson Hyperlegible" w:hAnsi="Atkinson Hyperlegible"/>
          <w:color w:val="2B2B2B"/>
          <w:sz w:val="20"/>
          <w:szCs w:val="20"/>
        </w:rPr>
        <w:t xml:space="preserve">A clear written report with practical adjustments for the workplace and the classroom: how instructions are given, how tasks are structured, how assessments are approached. Plain English, ready to act on.</w:t>
      </w:r>
    </w:p>
    <w:p>
      <w:pPr>
        <w:pStyle w:val="ListParagraph"/>
        <w:numPr>
          <w:ilvl w:val="0"/>
          <w:numId w:val="2"/>
        </w:numPr>
        <w:spacing w:after="70"/>
      </w:pPr>
      <w:r>
        <w:rPr>
          <w:rFonts w:ascii="Atkinson Hyperlegible" w:cs="Atkinson Hyperlegible" w:eastAsia="Atkinson Hyperlegible" w:hAnsi="Atkinson Hyperlegible"/>
          <w:b/>
          <w:bCs/>
          <w:color w:val="2B2B2B"/>
          <w:sz w:val="20"/>
          <w:szCs w:val="20"/>
        </w:rPr>
        <w:t xml:space="preserve">3. Support — </w:t>
      </w:r>
      <w:r>
        <w:rPr>
          <w:rFonts w:ascii="Atkinson Hyperlegible" w:cs="Atkinson Hyperlegible" w:eastAsia="Atkinson Hyperlegible" w:hAnsi="Atkinson Hyperlegible"/>
          <w:color w:val="2B2B2B"/>
          <w:sz w:val="20"/>
          <w:szCs w:val="20"/>
        </w:rPr>
        <w:t xml:space="preserve">Optional one-to-one specialist support sessions building study skills, organisation, and workplace strategies. Where the apprentice is eligible, we help you access Access to Work funding — which can cover ongoing support at little or no cost to you.</w:t>
      </w:r>
    </w:p>
    <w:p>
      <w:pPr>
        <w:pBdr>
          <w:bottom w:val="single" w:color="E8A317" w:sz="6"/>
        </w:pBdr>
        <w:spacing w:after="80" w:before="200"/>
      </w:pPr>
      <w:r>
        <w:rPr>
          <w:rFonts w:ascii="Atkinson Hyperlegible" w:cs="Atkinson Hyperlegible" w:eastAsia="Atkinson Hyperlegible" w:hAnsi="Atkinson Hyperlegible"/>
          <w:b/>
          <w:bCs/>
          <w:color w:val="432874"/>
          <w:sz w:val="21"/>
          <w:szCs w:val="21"/>
        </w:rPr>
        <w:t xml:space="preserve">WHY LATERAL MINDS</w:t>
      </w:r>
    </w:p>
    <w:p>
      <w:pPr>
        <w:spacing w:after="120" w:before="0"/>
      </w:pPr>
      <w:r>
        <w:rPr>
          <w:rFonts w:ascii="Atkinson Hyperlegible" w:cs="Atkinson Hyperlegible" w:eastAsia="Atkinson Hyperlegible" w:hAnsi="Atkinson Hyperlegible"/>
          <w:b w:val="false"/>
          <w:bCs w:val="false"/>
          <w:i w:val="false"/>
          <w:iCs w:val="false"/>
          <w:color w:val="2B2B2B"/>
          <w:sz w:val="20"/>
          <w:szCs w:val="20"/>
        </w:rPr>
        <w:t xml:space="preserve">Lateral Minds combines two kinds of expertise that rarely sit together: specialist neurodivergence support and genuine engineering credibility. Our practice is built on Level 4 DSA specialist mentoring (autism specialism), qualified teacher status, and decades of hands-on electrical, electronics and radio communications engineering — including vocational technical training delivered in industry. We understand three-phase systems and executive function in equal measure. That combination means adjustments that work on the shop floor, not just on paper.</w:t>
      </w:r>
    </w:p>
    <w:p>
      <w:pPr>
        <w:pBdr>
          <w:bottom w:val="single" w:color="E8A317" w:sz="6"/>
        </w:pBdr>
        <w:spacing w:after="80" w:before="200"/>
      </w:pPr>
      <w:r>
        <w:rPr>
          <w:rFonts w:ascii="Atkinson Hyperlegible" w:cs="Atkinson Hyperlegible" w:eastAsia="Atkinson Hyperlegible" w:hAnsi="Atkinson Hyperlegible"/>
          <w:b/>
          <w:bCs/>
          <w:color w:val="432874"/>
          <w:sz w:val="21"/>
          <w:szCs w:val="21"/>
        </w:rPr>
        <w:t xml:space="preserve">PRICING</w:t>
      </w:r>
    </w:p>
    <w:tbl>
      <w:tblPr>
        <w:tblW w:type="dxa" w:w="9600"/>
        <w:tblBorders>
          <w:top w:val="none" w:color="FFFFFF" w:sz="0"/>
          <w:left w:val="none" w:color="FFFFFF" w:sz="0"/>
          <w:bottom w:val="none" w:color="FFFFFF" w:sz="0"/>
          <w:right w:val="none" w:color="FFFFFF" w:sz="0"/>
          <w:insideH w:val="none" w:color="FFFFFF" w:sz="0"/>
          <w:insideV w:val="none" w:color="FFFFFF" w:sz="0"/>
        </w:tblBorders>
      </w:tblPr>
      <w:tblGrid>
        <w:gridCol w:w="2900"/>
        <w:gridCol w:w="5200"/>
        <w:gridCol w:w="1500"/>
      </w:tblGrid>
      <w:tr>
        <w:tc>
          <w:tcPr>
            <w:tcW w:type="dxa" w:w="2900"/>
            <w:tcBorders>
              <w:top w:val="none" w:color="FFFFFF" w:sz="0"/>
              <w:left w:val="none" w:color="FFFFFF" w:sz="0"/>
              <w:bottom w:val="none" w:color="FFFFFF" w:sz="0"/>
              <w:right w:val="none" w:color="FFFFFF" w:sz="0"/>
            </w:tcBorders>
            <w:shd w:fill="F5F1FA" w:val="clear"/>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432874"/>
                <w:sz w:val="19"/>
                <w:szCs w:val="19"/>
              </w:rPr>
              <w:t xml:space="preserve">Apprentice Support Diagnostic</w:t>
            </w:r>
          </w:p>
        </w:tc>
        <w:tc>
          <w:tcPr>
            <w:tcW w:type="dxa" w:w="5200"/>
            <w:tcBorders>
              <w:top w:val="none" w:color="FFFFFF" w:sz="0"/>
              <w:left w:val="none" w:color="FFFFFF" w:sz="0"/>
              <w:bottom w:val="none" w:color="FFFFFF" w:sz="0"/>
              <w:right w:val="none" w:color="FFFFFF" w:sz="0"/>
            </w:tcBorders>
            <w:shd w:fill="F5F1FA" w:val="clear"/>
            <w:tcMar>
              <w:top w:type="dxa" w:w="60"/>
              <w:left w:type="dxa" w:w="100"/>
              <w:bottom w:type="dxa" w:w="60"/>
              <w:right w:type="dxa" w:w="100"/>
            </w:tcMar>
          </w:tcPr>
          <w:p>
            <w:pPr>
              <w:spacing w:after="0"/>
            </w:pPr>
            <w:r>
              <w:rPr>
                <w:rFonts w:ascii="Atkinson Hyperlegible" w:cs="Atkinson Hyperlegible" w:eastAsia="Atkinson Hyperlegible" w:hAnsi="Atkinson Hyperlegible"/>
                <w:b w:val="false"/>
                <w:bCs w:val="false"/>
                <w:color w:val="2B2B2B"/>
                <w:sz w:val="19"/>
                <w:szCs w:val="19"/>
              </w:rPr>
              <w:t xml:space="preserve">Employer consultation, two 1:1 sessions with the apprentice, liaison with training provider, written adjustments and support report.</w:t>
            </w:r>
          </w:p>
        </w:tc>
        <w:tc>
          <w:tcPr>
            <w:tcW w:type="dxa" w:w="1500"/>
            <w:tcBorders>
              <w:top w:val="none" w:color="FFFFFF" w:sz="0"/>
              <w:left w:val="none" w:color="FFFFFF" w:sz="0"/>
              <w:bottom w:val="none" w:color="FFFFFF" w:sz="0"/>
              <w:right w:val="none" w:color="FFFFFF" w:sz="0"/>
            </w:tcBorders>
            <w:shd w:fill="F5F1FA" w:val="clear"/>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2B2B2B"/>
                <w:sz w:val="19"/>
                <w:szCs w:val="19"/>
              </w:rPr>
              <w:t xml:space="preserve">£595 fixed</w:t>
            </w:r>
          </w:p>
        </w:tc>
      </w:tr>
      <w:tr>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432874"/>
                <w:sz w:val="19"/>
                <w:szCs w:val="19"/>
              </w:rPr>
              <w:t xml:space="preserve">1:1 specialist support</w:t>
            </w:r>
          </w:p>
        </w:tc>
        <w:tc>
          <w:tcPr>
            <w:tcW w:type="dxa" w:w="52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pPr>
            <w:r>
              <w:rPr>
                <w:rFonts w:ascii="Atkinson Hyperlegible" w:cs="Atkinson Hyperlegible" w:eastAsia="Atkinson Hyperlegible" w:hAnsi="Atkinson Hyperlegible"/>
                <w:b w:val="false"/>
                <w:bCs w:val="false"/>
                <w:color w:val="2B2B2B"/>
                <w:sz w:val="19"/>
                <w:szCs w:val="19"/>
              </w:rPr>
              <w:t xml:space="preserve">55-minute sessions, remote. Block of six: £399. On-site sessions from £110 plus travel.</w:t>
            </w:r>
          </w:p>
        </w:tc>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2B2B2B"/>
                <w:sz w:val="19"/>
                <w:szCs w:val="19"/>
              </w:rPr>
              <w:t xml:space="preserve">£75 / session</w:t>
            </w:r>
          </w:p>
        </w:tc>
      </w:tr>
      <w:tr>
        <w:tc>
          <w:tcPr>
            <w:tcW w:type="dxa" w:w="2900"/>
            <w:tcBorders>
              <w:top w:val="none" w:color="FFFFFF" w:sz="0"/>
              <w:left w:val="none" w:color="FFFFFF" w:sz="0"/>
              <w:bottom w:val="none" w:color="FFFFFF" w:sz="0"/>
              <w:right w:val="none" w:color="FFFFFF" w:sz="0"/>
            </w:tcBorders>
            <w:shd w:fill="F5F1FA" w:val="clear"/>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432874"/>
                <w:sz w:val="19"/>
                <w:szCs w:val="19"/>
              </w:rPr>
              <w:t xml:space="preserve">Access to Work support</w:t>
            </w:r>
          </w:p>
        </w:tc>
        <w:tc>
          <w:tcPr>
            <w:tcW w:type="dxa" w:w="5200"/>
            <w:tcBorders>
              <w:top w:val="none" w:color="FFFFFF" w:sz="0"/>
              <w:left w:val="none" w:color="FFFFFF" w:sz="0"/>
              <w:bottom w:val="none" w:color="FFFFFF" w:sz="0"/>
              <w:right w:val="none" w:color="FFFFFF" w:sz="0"/>
            </w:tcBorders>
            <w:shd w:fill="F5F1FA" w:val="clear"/>
            <w:tcMar>
              <w:top w:type="dxa" w:w="60"/>
              <w:left w:type="dxa" w:w="100"/>
              <w:bottom w:type="dxa" w:w="60"/>
              <w:right w:type="dxa" w:w="100"/>
            </w:tcMar>
          </w:tcPr>
          <w:p>
            <w:pPr>
              <w:spacing w:after="0"/>
            </w:pPr>
            <w:r>
              <w:rPr>
                <w:rFonts w:ascii="Atkinson Hyperlegible" w:cs="Atkinson Hyperlegible" w:eastAsia="Atkinson Hyperlegible" w:hAnsi="Atkinson Hyperlegible"/>
                <w:b w:val="false"/>
                <w:bCs w:val="false"/>
                <w:color w:val="2B2B2B"/>
                <w:sz w:val="19"/>
                <w:szCs w:val="19"/>
              </w:rPr>
              <w:t xml:space="preserve">Eligibility guidance and application support included free with any diagnostic. Approved funding can cover ongoing sessions.</w:t>
            </w:r>
          </w:p>
        </w:tc>
        <w:tc>
          <w:tcPr>
            <w:tcW w:type="dxa" w:w="1500"/>
            <w:tcBorders>
              <w:top w:val="none" w:color="FFFFFF" w:sz="0"/>
              <w:left w:val="none" w:color="FFFFFF" w:sz="0"/>
              <w:bottom w:val="none" w:color="FFFFFF" w:sz="0"/>
              <w:right w:val="none" w:color="FFFFFF" w:sz="0"/>
            </w:tcBorders>
            <w:shd w:fill="F5F1FA" w:val="clear"/>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2B2B2B"/>
                <w:sz w:val="19"/>
                <w:szCs w:val="19"/>
              </w:rPr>
              <w:t xml:space="preserve">Included</w:t>
            </w:r>
          </w:p>
        </w:tc>
      </w:tr>
      <w:tr>
        <w:tc>
          <w:tcPr>
            <w:tcW w:type="dxa" w:w="29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432874"/>
                <w:sz w:val="19"/>
                <w:szCs w:val="19"/>
              </w:rPr>
              <w:t xml:space="preserve">Inclusive delivery consultancy</w:t>
            </w:r>
          </w:p>
        </w:tc>
        <w:tc>
          <w:tcPr>
            <w:tcW w:type="dxa" w:w="52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pPr>
            <w:r>
              <w:rPr>
                <w:rFonts w:ascii="Atkinson Hyperlegible" w:cs="Atkinson Hyperlegible" w:eastAsia="Atkinson Hyperlegible" w:hAnsi="Atkinson Hyperlegible"/>
                <w:b w:val="false"/>
                <w:bCs w:val="false"/>
                <w:color w:val="2B2B2B"/>
                <w:sz w:val="19"/>
                <w:szCs w:val="19"/>
              </w:rPr>
              <w:t xml:space="preserve">CPD for trainers and supervisors, or review of your technical training delivery for neurodivergent accessibility. Half day £450.</w:t>
            </w:r>
          </w:p>
        </w:tc>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pPr>
            <w:r>
              <w:rPr>
                <w:rFonts w:ascii="Atkinson Hyperlegible" w:cs="Atkinson Hyperlegible" w:eastAsia="Atkinson Hyperlegible" w:hAnsi="Atkinson Hyperlegible"/>
                <w:b/>
                <w:bCs/>
                <w:color w:val="2B2B2B"/>
                <w:sz w:val="19"/>
                <w:szCs w:val="19"/>
              </w:rPr>
              <w:t xml:space="preserve">£750 / day</w:t>
            </w:r>
          </w:p>
        </w:tc>
      </w:tr>
    </w:tbl>
    <w:p>
      <w:pPr>
        <w:spacing w:after="160" w:before="80"/>
      </w:pPr>
      <w:r>
        <w:rPr>
          <w:rFonts w:ascii="Atkinson Hyperlegible" w:cs="Atkinson Hyperlegible" w:eastAsia="Atkinson Hyperlegible" w:hAnsi="Atkinson Hyperlegible"/>
          <w:b w:val="false"/>
          <w:bCs w:val="false"/>
          <w:i w:val="false"/>
          <w:iCs w:val="false"/>
          <w:color w:val="6B6B6B"/>
          <w:sz w:val="17"/>
          <w:szCs w:val="17"/>
        </w:rPr>
        <w:t xml:space="preserve">All prices exclude VAT. Delivery is remote-first UK-wide, with on-site visits by arrangement.</w:t>
      </w:r>
    </w:p>
    <w:tbl>
      <w:tblPr>
        <w:tblW w:type="dxa" w:w="9600"/>
        <w:tblBorders>
          <w:top w:val="none" w:color="FFFFFF" w:sz="0"/>
          <w:left w:val="none" w:color="FFFFFF" w:sz="0"/>
          <w:bottom w:val="none" w:color="FFFFFF" w:sz="0"/>
          <w:right w:val="none" w:color="FFFFFF" w:sz="0"/>
          <w:insideH w:val="none" w:color="FFFFFF" w:sz="0"/>
          <w:insideV w:val="none" w:color="FFFFFF" w:sz="0"/>
        </w:tblBorders>
      </w:tblPr>
      <w:tblGrid>
        <w:gridCol w:w="9600"/>
      </w:tblGrid>
      <w:tr>
        <w:tc>
          <w:tcPr>
            <w:tcBorders>
              <w:top w:val="none" w:color="FFFFFF" w:sz="0"/>
              <w:left w:val="none" w:color="FFFFFF" w:sz="0"/>
              <w:bottom w:val="none" w:color="FFFFFF" w:sz="0"/>
              <w:right w:val="none" w:color="FFFFFF" w:sz="0"/>
            </w:tcBorders>
            <w:shd w:fill="432874" w:val="clear"/>
            <w:tcMar>
              <w:top w:type="dxa" w:w="120"/>
              <w:left w:type="dxa" w:w="160"/>
              <w:bottom w:type="dxa" w:w="120"/>
              <w:right w:type="dxa" w:w="160"/>
            </w:tcMar>
          </w:tcPr>
          <w:p>
            <w:pPr>
              <w:spacing w:after="30"/>
            </w:pPr>
            <w:r>
              <w:rPr>
                <w:rFonts w:ascii="Atkinson Hyperlegible" w:cs="Atkinson Hyperlegible" w:eastAsia="Atkinson Hyperlegible" w:hAnsi="Atkinson Hyperlegible"/>
                <w:b/>
                <w:bCs/>
                <w:color w:val="FFFFFF"/>
                <w:sz w:val="21"/>
                <w:szCs w:val="21"/>
              </w:rPr>
              <w:t xml:space="preserve">Worried about an apprentice? Start with a conversation.</w:t>
            </w:r>
          </w:p>
          <w:p>
            <w:pPr>
              <w:spacing w:after="0"/>
            </w:pPr>
            <w:r>
              <w:rPr>
                <w:rFonts w:ascii="Atkinson Hyperlegible" w:cs="Atkinson Hyperlegible" w:eastAsia="Atkinson Hyperlegible" w:hAnsi="Atkinson Hyperlegible"/>
                <w:color w:val="EDE4F7"/>
                <w:sz w:val="18"/>
                <w:szCs w:val="18"/>
              </w:rPr>
              <w:t xml:space="preserve">lateralminds.uk   ·   hello@lateralminds.uk   ·   Lateral Minds is a trading name of Yesway Ltd, Lincolnshire, UK</w:t>
            </w:r>
          </w:p>
        </w:tc>
      </w:tr>
    </w:tbl>
    <w:sectPr>
      <w:pgSz w:w="11906" w:h="16838" w:orient="portrait"/>
      <w:pgMar w:top="793" w:right="907" w:bottom="680" w:left="90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1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2026-07-19T11:52:52.734Z</dcterms:created>
  <dcterms:modified xsi:type="dcterms:W3CDTF">2026-07-19T11:52:52.750Z</dcterms:modified>
</cp:coreProperties>
</file>

<file path=docProps/custom.xml><?xml version="1.0" encoding="utf-8"?>
<Properties xmlns="http://schemas.openxmlformats.org/officeDocument/2006/custom-properties" xmlns:vt="http://schemas.openxmlformats.org/officeDocument/2006/docPropsVTypes"/>
</file>